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SOCIETY OF ST. VINCENT de PAUL</w:t>
      </w:r>
      <w:r>
        <w:rPr>
          <w:sz w:val="26"/>
          <w:szCs w:val="26"/>
          <w:rtl w:val="0"/>
          <w:lang w:val="en-US"/>
        </w:rPr>
        <w:t xml:space="preserve"> - General Monthly Meeting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March 15, 2022   1:00 pm</w:t>
      </w:r>
    </w:p>
    <w:p>
      <w:pPr>
        <w:pStyle w:val="Body"/>
        <w:widowControl w:val="0"/>
        <w:jc w:val="both"/>
        <w:rPr>
          <w:rtl w:val="0"/>
        </w:rPr>
      </w:pPr>
    </w:p>
    <w:tbl>
      <w:tblPr>
        <w:tblW w:w="107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723"/>
        <w:gridCol w:w="3673"/>
        <w:gridCol w:w="3336"/>
      </w:tblGrid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63b2de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63b2de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63b2de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63b2de" w:sz="4" w:space="0" w:shadow="0" w:frame="0"/>
              <w:left w:val="single" w:color="63b2de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63b2de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480" w:lineRule="auto"/>
              <w:jc w:val="left"/>
            </w:pPr>
            <w:r>
              <w:rPr>
                <w:rFonts w:ascii="Calibri"/>
                <w:rtl w:val="0"/>
              </w:rPr>
              <w:t>NEW MEMBERS SIGN IN BELOW</w:t>
            </w:r>
          </w:p>
        </w:tc>
        <w:tc>
          <w:tcPr>
            <w:tcW w:type="dxa" w:w="3335"/>
            <w:tcBorders>
              <w:top w:val="single" w:color="63b2de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63b2de" w:sz="4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3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jc w:val="both"/>
        <w:rPr>
          <w:rtl w:val="0"/>
        </w:rPr>
      </w:pPr>
    </w:p>
    <w:p>
      <w:pPr>
        <w:pStyle w:val="Body"/>
        <w:jc w:val="left"/>
        <w:rPr>
          <w:rtl w:val="0"/>
        </w:rPr>
      </w:pPr>
    </w:p>
    <w:p>
      <w:pPr>
        <w:pStyle w:val="Body"/>
        <w:rPr>
          <w:rtl w:val="0"/>
        </w:rPr>
      </w:pPr>
    </w:p>
    <w:p>
      <w:pPr>
        <w:pStyle w:val="Body"/>
        <w:rPr>
          <w:rtl w:val="0"/>
        </w:rPr>
      </w:pPr>
    </w:p>
    <w:p>
      <w:pPr>
        <w:pStyle w:val="Body"/>
        <w:rPr>
          <w:rtl w:val="0"/>
        </w:rPr>
      </w:pPr>
    </w:p>
    <w:p>
      <w:pPr>
        <w:pStyle w:val="Body"/>
        <w:rPr>
          <w:rtl w:val="0"/>
        </w:rPr>
      </w:pPr>
    </w:p>
    <w:p>
      <w:pPr>
        <w:pStyle w:val="Body"/>
        <w:rPr>
          <w:rtl w:val="0"/>
        </w:rPr>
      </w:pPr>
    </w:p>
    <w:p>
      <w:pPr>
        <w:pStyle w:val="Body"/>
        <w:rPr>
          <w:rtl w:val="0"/>
        </w:rPr>
      </w:pPr>
    </w:p>
    <w:p>
      <w:pPr>
        <w:pStyle w:val="Body"/>
        <w:rPr>
          <w:rtl w:val="0"/>
        </w:rPr>
      </w:pPr>
    </w:p>
    <w:p>
      <w:pPr>
        <w:pStyle w:val="Body"/>
        <w:rPr>
          <w:rtl w:val="0"/>
        </w:rPr>
      </w:pPr>
    </w:p>
    <w:p>
      <w:pPr>
        <w:pStyle w:val="Body"/>
        <w:rPr>
          <w:rtl w:val="0"/>
        </w:rPr>
      </w:pPr>
    </w:p>
    <w:p>
      <w:pPr>
        <w:pStyle w:val="Body"/>
        <w:jc w:val="both"/>
        <w:rPr>
          <w:rtl w:val="0"/>
        </w:rPr>
      </w:pPr>
    </w:p>
    <w:p>
      <w:pPr>
        <w:pStyle w:val="Body"/>
        <w:rPr>
          <w:rtl w:val="0"/>
        </w:rPr>
      </w:pPr>
    </w:p>
    <w:p>
      <w:pPr>
        <w:pStyle w:val="Body"/>
        <w:rPr>
          <w:rtl w:val="0"/>
        </w:rPr>
      </w:pPr>
    </w:p>
    <w:p>
      <w:pPr>
        <w:pStyle w:val="Body"/>
        <w:rPr>
          <w:rtl w:val="0"/>
        </w:rPr>
      </w:pPr>
    </w:p>
    <w:p>
      <w:pPr>
        <w:pStyle w:val="Body"/>
      </w:pPr>
      <w:r>
        <w:rPr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360" w:right="720" w:bottom="36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libri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